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jc w:val="center"/>
        <w:rPr>
          <w:rFonts w:ascii="华文中宋" w:hAnsi="华文中宋" w:eastAsia="华文中宋" w:cstheme="minorBidi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关于召开</w:t>
      </w:r>
      <w:r>
        <w:rPr>
          <w:rFonts w:hint="eastAsia" w:ascii="华文中宋" w:hAnsi="华文中宋" w:eastAsia="华文中宋" w:cstheme="minorBidi"/>
          <w:sz w:val="36"/>
          <w:szCs w:val="36"/>
        </w:rPr>
        <w:t>2017中国矿业循环经济</w:t>
      </w:r>
    </w:p>
    <w:p>
      <w:pPr>
        <w:spacing w:line="54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theme="minorBidi"/>
          <w:sz w:val="36"/>
          <w:szCs w:val="36"/>
        </w:rPr>
        <w:t>暨绿色矿山论坛</w:t>
      </w:r>
      <w:r>
        <w:rPr>
          <w:rFonts w:hint="eastAsia" w:ascii="华文中宋" w:hAnsi="华文中宋" w:eastAsia="华文中宋"/>
          <w:sz w:val="36"/>
          <w:szCs w:val="36"/>
        </w:rPr>
        <w:t>的通知</w:t>
      </w:r>
    </w:p>
    <w:p>
      <w:pPr>
        <w:adjustRightInd w:val="0"/>
        <w:snapToGrid w:val="0"/>
        <w:spacing w:line="360" w:lineRule="auto"/>
        <w:rPr>
          <w:rFonts w:ascii="仿宋" w:hAnsi="仿宋" w:eastAsia="仿宋" w:cstheme="minorBidi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各有关单位：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由中国矿业联合会主办的2017中国矿业循环经济暨绿色矿山论坛定于5月25日在北京召开。会议将贯彻落实《国土资源部、财政部、环境保护部、国家质量监督检验检疫总局、中国银行业监督管理委员会、中国证券监督管理委员会关于加快建设绿色矿山的实施意见》（国土资规[2017]4号），针对矿业企业对绿色矿山建设前景及有关支持政策的关注，邀请相关部门和单位的专家解读政策、分析形势并邀请有关矿山企业介绍绿色矿山建设的经验。</w:t>
      </w:r>
      <w:r>
        <w:rPr>
          <w:rFonts w:hint="eastAsia" w:ascii="仿宋" w:hAnsi="仿宋" w:eastAsia="仿宋"/>
          <w:spacing w:val="-6"/>
          <w:sz w:val="30"/>
          <w:szCs w:val="30"/>
        </w:rPr>
        <w:t>现将</w:t>
      </w:r>
      <w:r>
        <w:rPr>
          <w:rFonts w:hint="eastAsia" w:ascii="仿宋" w:hAnsi="仿宋" w:eastAsia="仿宋"/>
          <w:spacing w:val="-6"/>
          <w:sz w:val="30"/>
          <w:szCs w:val="30"/>
          <w:lang w:val="en-US" w:eastAsia="zh-CN"/>
        </w:rPr>
        <w:t>会议</w:t>
      </w:r>
      <w:r>
        <w:rPr>
          <w:rFonts w:hint="eastAsia" w:ascii="仿宋" w:hAnsi="仿宋" w:eastAsia="仿宋"/>
          <w:spacing w:val="-6"/>
          <w:sz w:val="30"/>
          <w:szCs w:val="30"/>
        </w:rPr>
        <w:t>有关事项通知如下：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一、会议时间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ascii="仿宋" w:hAnsi="仿宋" w:eastAsia="仿宋" w:cstheme="minorBidi"/>
          <w:sz w:val="30"/>
          <w:szCs w:val="30"/>
        </w:rPr>
        <w:t>201</w:t>
      </w:r>
      <w:r>
        <w:rPr>
          <w:rFonts w:hint="eastAsia" w:ascii="仿宋" w:hAnsi="仿宋" w:eastAsia="仿宋" w:cstheme="minorBidi"/>
          <w:sz w:val="30"/>
          <w:szCs w:val="30"/>
        </w:rPr>
        <w:t>7年5月25-26日（24日全天报到）。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二、会议地点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北京国二招宾馆（北京市西城区西直门南大街6号）。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三、会议组织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（一）主办单位：中国矿业联合会。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（二）支持单位：中国生态文明建设研究与促进会、中国工业环保促进会。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（三）协办单位：</w:t>
      </w:r>
      <w:r>
        <w:rPr>
          <w:rFonts w:hint="eastAsia" w:ascii="仿宋" w:hAnsi="仿宋" w:eastAsia="仿宋"/>
          <w:sz w:val="30"/>
          <w:szCs w:val="30"/>
        </w:rPr>
        <w:t>中国煤炭工业协会、中国有色金属工业协会、中国非金属矿工业协会、中国黄金协会、中国冶金矿山企业协会、中国化学矿业协</w:t>
      </w: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会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544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（四）支持媒体：中国国土资源报、中国矿业报、国土资源部门户网、中国矿业网、</w:t>
      </w:r>
      <w:r>
        <w:rPr>
          <w:rFonts w:ascii="仿宋" w:hAnsi="仿宋" w:eastAsia="仿宋"/>
          <w:spacing w:val="-6"/>
          <w:sz w:val="30"/>
          <w:szCs w:val="30"/>
        </w:rPr>
        <w:t>中国矿业杂志</w:t>
      </w:r>
      <w:r>
        <w:rPr>
          <w:rFonts w:hint="eastAsia" w:ascii="仿宋" w:hAnsi="仿宋" w:eastAsia="仿宋"/>
          <w:spacing w:val="-6"/>
          <w:sz w:val="30"/>
          <w:szCs w:val="30"/>
        </w:rPr>
        <w:t>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四、会议主题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发展绿色矿业 建设绿色矿山</w:t>
      </w:r>
      <w:r>
        <w:rPr>
          <w:rFonts w:hint="eastAsia" w:ascii="仿宋" w:hAnsi="仿宋" w:eastAsia="仿宋" w:cstheme="minorBidi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五、会议日程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（一）开幕式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主持人：中国矿业联合会领导。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1.主持人致辞。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2.播放专题片《绿色矿山建设回顾与展望》。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3.国土资源部领导致辞。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4.中国生态文明建设研究与促进会领导致辞。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（二）第一板块：形势与政策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主持人：中国矿业联合会领导。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1.绿色发展及其机制创新（国务院发展研究中心）。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2.六部委《关于加快建设绿色矿山的实施意见》解读（国土资源部规划司）。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3.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矿产资源开发与环境保护</w:t>
      </w:r>
      <w:r>
        <w:rPr>
          <w:rFonts w:hint="eastAsia" w:ascii="仿宋" w:hAnsi="仿宋" w:eastAsia="仿宋" w:cstheme="minorBidi"/>
          <w:sz w:val="30"/>
          <w:szCs w:val="30"/>
        </w:rPr>
        <w:t>（环境保护部）</w:t>
      </w:r>
      <w:r>
        <w:rPr>
          <w:rFonts w:hint="eastAsia" w:ascii="仿宋" w:hAnsi="仿宋" w:eastAsia="仿宋" w:cstheme="minorBidi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4.标准体系建设在绿色矿山建设中的作用（国家质检总局）。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5.生态文明建设中的矿业发展思考（中央党校生态文明建设研究专题组）。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绿色矿山建设中的财政支持政策</w:t>
      </w:r>
      <w:r>
        <w:rPr>
          <w:rFonts w:hint="eastAsia" w:ascii="仿宋" w:hAnsi="仿宋" w:eastAsia="仿宋" w:cstheme="minorBidi"/>
          <w:sz w:val="30"/>
          <w:szCs w:val="30"/>
        </w:rPr>
        <w:t>（财政部经建司）。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7.</w:t>
      </w:r>
      <w:r>
        <w:rPr>
          <w:rFonts w:ascii="仿宋" w:hAnsi="仿宋" w:eastAsia="仿宋" w:cs="宋体"/>
          <w:kern w:val="0"/>
          <w:sz w:val="30"/>
          <w:szCs w:val="30"/>
        </w:rPr>
        <w:t>绿色信贷</w:t>
      </w:r>
      <w:r>
        <w:rPr>
          <w:rFonts w:hint="eastAsia" w:ascii="仿宋" w:hAnsi="仿宋" w:eastAsia="仿宋" w:cs="宋体"/>
          <w:kern w:val="0"/>
          <w:sz w:val="30"/>
          <w:szCs w:val="30"/>
        </w:rPr>
        <w:t>与矿业</w:t>
      </w:r>
      <w:r>
        <w:rPr>
          <w:rFonts w:ascii="仿宋" w:hAnsi="仿宋" w:eastAsia="仿宋" w:cs="宋体"/>
          <w:kern w:val="0"/>
          <w:sz w:val="30"/>
          <w:szCs w:val="30"/>
        </w:rPr>
        <w:t>可持续</w:t>
      </w: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银监会政策研究局</w:t>
      </w:r>
      <w:r>
        <w:rPr>
          <w:rFonts w:hint="eastAsia" w:ascii="仿宋" w:hAnsi="仿宋" w:eastAsia="仿宋" w:cs="宋体"/>
          <w:kern w:val="0"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8.绿色金融与矿业发展（中证金融研究院）。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（三）第二板块：绿色矿山建设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主持人：国土资源经济研究院领导。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1.大力推进</w:t>
      </w:r>
      <w:r>
        <w:rPr>
          <w:rFonts w:hint="eastAsia" w:ascii="仿宋" w:hAnsi="仿宋" w:eastAsia="仿宋"/>
          <w:sz w:val="30"/>
          <w:szCs w:val="30"/>
        </w:rPr>
        <w:t>绿色勘查工作（</w:t>
      </w:r>
      <w:r>
        <w:rPr>
          <w:rFonts w:hint="eastAsia" w:ascii="仿宋" w:hAnsi="仿宋" w:eastAsia="仿宋" w:cstheme="minorBidi"/>
          <w:sz w:val="30"/>
          <w:szCs w:val="30"/>
        </w:rPr>
        <w:t>国土资源部勘查司</w:t>
      </w:r>
      <w:r>
        <w:rPr>
          <w:rFonts w:hint="eastAsia" w:ascii="仿宋" w:hAnsi="仿宋" w:eastAsia="仿宋"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2.绿色矿业发展示范区建设要求解读（国土资源经济研究院）。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3.矿产资源综合利用的经济效益与生态效益（中国地调局</w:t>
      </w:r>
      <w:r>
        <w:fldChar w:fldCharType="begin"/>
      </w:r>
      <w:r>
        <w:instrText xml:space="preserve"> HYPERLINK "http://www.imu.ac.cn/html/suonadongtai/2016/1117/10311.html" \o "郑州矿产综合利用研究所高新区实验室改造项目二次结果公示" </w:instrText>
      </w:r>
      <w:r>
        <w:fldChar w:fldCharType="separate"/>
      </w:r>
      <w:r>
        <w:rPr>
          <w:rFonts w:hint="eastAsia" w:ascii="仿宋" w:hAnsi="仿宋" w:eastAsia="仿宋" w:cstheme="minorBidi"/>
          <w:sz w:val="30"/>
          <w:szCs w:val="30"/>
        </w:rPr>
        <w:t>郑州矿产综合利用研究所</w:t>
      </w:r>
      <w:r>
        <w:rPr>
          <w:rFonts w:ascii="仿宋" w:hAnsi="仿宋" w:eastAsia="仿宋" w:cstheme="minorBidi"/>
          <w:sz w:val="30"/>
          <w:szCs w:val="30"/>
        </w:rPr>
        <w:fldChar w:fldCharType="end"/>
      </w:r>
      <w:r>
        <w:rPr>
          <w:rFonts w:hint="eastAsia" w:ascii="仿宋" w:hAnsi="仿宋" w:eastAsia="仿宋" w:cstheme="minorBidi"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4.绿色矿山建设要求解读（中国地质科学院）。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5.绿色矿山建设首个地方标准介绍（浙江湖州市人民政府）。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6.绿色勘查理念与实践（青海有色地勘局）。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7.绿色勘查企业标准初探（贵州西南能矿集团）。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（四）第三板块：绿色矿山建设经验交流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主持人：中国矿业联合会领导。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1.高效利用资源聚力环境保护（山东黄金集团公司）。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2.采矿用地改革与绿色矿山建设（中铝广西平果铝土矿）。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3.科技引领循环利用争当绿色矿山建设的领跑者（山东新汶矿业集团新巨龙煤矿）。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4.新技术应用拓展绿色发展（浙江新开元碎石有限公司）。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5.义利共赢 和谐发展（四川安宁铁钛矿业公司）。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（五）第四板块：第三方服务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bCs/>
          <w:sz w:val="30"/>
          <w:szCs w:val="30"/>
        </w:rPr>
      </w:pPr>
      <w:r>
        <w:rPr>
          <w:rFonts w:hint="eastAsia" w:ascii="仿宋" w:hAnsi="仿宋" w:eastAsia="仿宋" w:cstheme="minorBidi"/>
          <w:bCs/>
          <w:sz w:val="30"/>
          <w:szCs w:val="30"/>
        </w:rPr>
        <w:t>1.矿山安全新理念（中矿基业安全防范技术公司）。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2.智能化技术助力绿色矿山建设（北京安瑞斯机电设备有限公司）。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  <w:shd w:val="clear" w:color="auto" w:fill="FFFFFF"/>
        </w:rPr>
        <w:t>3.普根生无土纤维植被修复技术实践（西藏俊富环境恢复有限公司）。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theme="minorBidi"/>
          <w:sz w:val="30"/>
          <w:szCs w:val="30"/>
        </w:rPr>
        <w:t>4.科技与管理创新为绿色矿业注入活力（毕马威咨询公司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）。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="Arial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sz w:val="30"/>
          <w:szCs w:val="30"/>
          <w:shd w:val="clear" w:color="auto" w:fill="FFFFFF"/>
        </w:rPr>
        <w:t>5.生态档墙技术与工程（</w:t>
      </w:r>
      <w:r>
        <w:fldChar w:fldCharType="begin"/>
      </w:r>
      <w:r>
        <w:instrText xml:space="preserve"> HYPERLINK "http://www.11467.com/changsha/co/103730.htm" </w:instrText>
      </w:r>
      <w:r>
        <w:fldChar w:fldCharType="separate"/>
      </w:r>
      <w:r>
        <w:rPr>
          <w:rFonts w:hint="eastAsia" w:ascii="仿宋" w:hAnsi="仿宋" w:eastAsia="仿宋" w:cs="Arial"/>
          <w:sz w:val="30"/>
          <w:szCs w:val="30"/>
          <w:shd w:val="clear" w:color="auto" w:fill="FFFFFF"/>
        </w:rPr>
        <w:t>马克菲尔新型支档科技开发有限公司</w:t>
      </w:r>
      <w:r>
        <w:rPr>
          <w:rFonts w:hint="eastAsia" w:ascii="仿宋" w:hAnsi="仿宋" w:eastAsia="仿宋" w:cs="Arial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Arial"/>
          <w:sz w:val="30"/>
          <w:szCs w:val="30"/>
          <w:shd w:val="clear" w:color="auto" w:fill="FFFFFF"/>
        </w:rPr>
        <w:t>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（六）第五板块：互动交流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="Arial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theme="minorBidi"/>
          <w:bCs/>
          <w:sz w:val="30"/>
          <w:szCs w:val="30"/>
        </w:rPr>
        <w:t>与会代表互动交流（主管部门、研究机构、矿山企业、服务公司代表）。</w:t>
      </w:r>
    </w:p>
    <w:p>
      <w:pPr>
        <w:adjustRightInd w:val="0"/>
        <w:snapToGrid w:val="0"/>
        <w:spacing w:line="360" w:lineRule="auto"/>
        <w:ind w:firstLine="569" w:firstLineChars="189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六、参会代表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（一）国家相关部委领导及有关司局单位负责人。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Calibri"/>
          <w:sz w:val="30"/>
          <w:szCs w:val="30"/>
          <w:lang w:eastAsia="zh-CN"/>
        </w:rPr>
      </w:pPr>
      <w:r>
        <w:rPr>
          <w:rFonts w:hint="eastAsia" w:ascii="仿宋" w:hAnsi="仿宋" w:eastAsia="仿宋" w:cs="Calibri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Calibri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有关行业协会</w:t>
      </w:r>
      <w:r>
        <w:rPr>
          <w:rFonts w:hint="eastAsia" w:ascii="仿宋" w:hAnsi="仿宋" w:eastAsia="仿宋" w:cs="Calibri"/>
          <w:sz w:val="30"/>
          <w:szCs w:val="30"/>
        </w:rPr>
        <w:t>负责人。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Calibri"/>
          <w:sz w:val="30"/>
          <w:szCs w:val="30"/>
        </w:rPr>
        <w:t>）各省（自治区、直辖市）国土资源主管部门负责绿色矿山工作的相关负责人。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Calibri"/>
          <w:sz w:val="30"/>
          <w:szCs w:val="30"/>
        </w:rPr>
        <w:t>）各省（自治区、直辖市)矿业协会（联合会）负责人（限2人）。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Calibri"/>
          <w:sz w:val="30"/>
          <w:szCs w:val="30"/>
        </w:rPr>
        <w:t>）中国矿业联合会会员单位代表（限1人）。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Calibri"/>
          <w:sz w:val="30"/>
          <w:szCs w:val="30"/>
        </w:rPr>
        <w:t>）国家级绿色矿山试点单位负责人（限2人）。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Calibri"/>
          <w:sz w:val="30"/>
          <w:szCs w:val="30"/>
        </w:rPr>
        <w:t>）中国矿业联合会绿色矿山促进工作委员会副会长、副秘书长单位及专家顾问成员。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Calibri"/>
          <w:sz w:val="30"/>
          <w:szCs w:val="30"/>
        </w:rPr>
        <w:t>）矿山企业、地勘单位代表（限1人）。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Calibri"/>
          <w:sz w:val="30"/>
          <w:szCs w:val="30"/>
        </w:rPr>
        <w:t>）绿色矿山建设第三方服务机构代表（限1人）。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十</w:t>
      </w:r>
      <w:bookmarkStart w:id="0" w:name="_GoBack"/>
      <w:bookmarkEnd w:id="0"/>
      <w:r>
        <w:rPr>
          <w:rFonts w:hint="eastAsia" w:ascii="仿宋" w:hAnsi="仿宋" w:eastAsia="仿宋" w:cs="Calibri"/>
          <w:sz w:val="30"/>
          <w:szCs w:val="30"/>
        </w:rPr>
        <w:t>）新闻媒体记者（除央视外限1人）。</w:t>
      </w:r>
    </w:p>
    <w:p>
      <w:pPr>
        <w:adjustRightInd w:val="0"/>
        <w:snapToGrid w:val="0"/>
        <w:spacing w:line="360" w:lineRule="auto"/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七、注册费和报名报到</w:t>
      </w:r>
    </w:p>
    <w:p>
      <w:pPr>
        <w:adjustRightInd w:val="0"/>
        <w:snapToGrid w:val="0"/>
        <w:spacing w:line="360" w:lineRule="auto"/>
        <w:ind w:firstLine="576" w:firstLineChars="20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（一）会议实行网上报名（http://www.chinamining.org.cn），不能完成网上报名的，</w:t>
      </w:r>
      <w:r>
        <w:rPr>
          <w:rFonts w:hint="eastAsia" w:ascii="仿宋" w:hAnsi="仿宋" w:eastAsia="仿宋"/>
          <w:sz w:val="30"/>
          <w:szCs w:val="30"/>
        </w:rPr>
        <w:t>请填写本通知所附会议回执，于5月15日前以电子邮件、传真或邮寄方式至中国矿联绿色矿山促进会秘书处。邮寄地址：北京市东城区和平里九区甲4号安信大厦B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座</w:t>
      </w:r>
      <w:r>
        <w:rPr>
          <w:rFonts w:hint="eastAsia" w:ascii="仿宋" w:hAnsi="仿宋" w:eastAsia="仿宋"/>
          <w:sz w:val="30"/>
          <w:szCs w:val="30"/>
        </w:rPr>
        <w:t>309室，邮编：100013。传真：010-66557659（自动）。电子邮箱：</w:t>
      </w:r>
      <w:r>
        <w:rPr>
          <w:rFonts w:ascii="仿宋" w:hAnsi="仿宋" w:eastAsia="仿宋"/>
          <w:spacing w:val="-6"/>
          <w:sz w:val="30"/>
          <w:szCs w:val="30"/>
        </w:rPr>
        <w:t>greenmine@chinamining.org.cn</w:t>
      </w:r>
      <w:r>
        <w:rPr>
          <w:rFonts w:hint="eastAsia" w:ascii="仿宋" w:hAnsi="仿宋" w:eastAsia="仿宋"/>
          <w:spacing w:val="-6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576" w:firstLineChars="20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（二）会议注册费</w:t>
      </w:r>
      <w:r>
        <w:rPr>
          <w:rFonts w:hint="eastAsia" w:ascii="仿宋" w:hAnsi="仿宋" w:eastAsia="仿宋" w:cstheme="minorBidi"/>
          <w:b/>
          <w:sz w:val="30"/>
          <w:szCs w:val="30"/>
        </w:rPr>
        <w:t>：</w:t>
      </w:r>
      <w:r>
        <w:rPr>
          <w:rFonts w:hint="eastAsia" w:ascii="仿宋" w:hAnsi="仿宋" w:eastAsia="仿宋" w:cstheme="minorBidi"/>
          <w:sz w:val="30"/>
          <w:szCs w:val="30"/>
        </w:rPr>
        <w:t>2500元（会员单位2000元）。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（三）注册费请</w:t>
      </w:r>
      <w:r>
        <w:rPr>
          <w:rFonts w:hint="eastAsia" w:ascii="仿宋" w:hAnsi="仿宋" w:eastAsia="仿宋"/>
          <w:spacing w:val="-6"/>
          <w:sz w:val="30"/>
          <w:szCs w:val="30"/>
        </w:rPr>
        <w:t>汇至中国矿联（户名：中国矿业联合会，开户行：工商银行北京西四支行，账号：0200002809014422592），以个人名义汇款时请备注汇款单位名称。汇款后请在汇款凭证上备注“</w:t>
      </w:r>
      <w:r>
        <w:rPr>
          <w:rFonts w:hint="eastAsia" w:ascii="仿宋" w:hAnsi="仿宋" w:eastAsia="仿宋"/>
          <w:b/>
          <w:spacing w:val="-6"/>
          <w:sz w:val="30"/>
          <w:szCs w:val="30"/>
        </w:rPr>
        <w:t>绿色矿山”</w:t>
      </w:r>
      <w:r>
        <w:rPr>
          <w:rFonts w:hint="eastAsia" w:ascii="仿宋" w:hAnsi="仿宋" w:eastAsia="仿宋"/>
          <w:spacing w:val="-6"/>
          <w:sz w:val="30"/>
          <w:szCs w:val="30"/>
        </w:rPr>
        <w:t>字样和开具发票的单位名称（开增值税专用发票请提供单位相关信息）并发送至</w:t>
      </w:r>
      <w:r>
        <w:rPr>
          <w:rFonts w:ascii="仿宋" w:hAnsi="仿宋" w:eastAsia="仿宋"/>
          <w:spacing w:val="-6"/>
          <w:sz w:val="30"/>
          <w:szCs w:val="30"/>
        </w:rPr>
        <w:t>greenmine@chinamining.org.cn</w:t>
      </w:r>
      <w:r>
        <w:rPr>
          <w:rFonts w:hint="eastAsia" w:ascii="仿宋" w:hAnsi="仿宋" w:eastAsia="仿宋"/>
          <w:spacing w:val="-6"/>
          <w:sz w:val="30"/>
          <w:szCs w:val="30"/>
        </w:rPr>
        <w:t>邮箱。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（四）5月24日全天在北京国二招宾馆报到（地址：</w:t>
      </w:r>
      <w:r>
        <w:rPr>
          <w:rFonts w:hint="eastAsia" w:ascii="仿宋" w:hAnsi="仿宋" w:eastAsia="仿宋" w:cstheme="minorBidi"/>
          <w:sz w:val="30"/>
          <w:szCs w:val="30"/>
        </w:rPr>
        <w:t>北京市西城区西直门南大街6号</w:t>
      </w:r>
      <w:r>
        <w:rPr>
          <w:rFonts w:hint="eastAsia" w:ascii="仿宋" w:hAnsi="仿宋" w:eastAsia="仿宋"/>
          <w:sz w:val="30"/>
          <w:szCs w:val="30"/>
        </w:rPr>
        <w:t>。电话：010-66186688）。会议不安排接站，请与会代表自行前往。</w:t>
      </w:r>
    </w:p>
    <w:p>
      <w:pPr>
        <w:adjustRightInd w:val="0"/>
        <w:snapToGrid w:val="0"/>
        <w:spacing w:line="360" w:lineRule="auto"/>
        <w:ind w:firstLine="567" w:firstLineChars="189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（五）会务组在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北京</w:t>
      </w:r>
      <w:r>
        <w:rPr>
          <w:rFonts w:hint="eastAsia" w:ascii="仿宋" w:hAnsi="仿宋" w:eastAsia="仿宋"/>
          <w:sz w:val="30"/>
          <w:szCs w:val="30"/>
        </w:rPr>
        <w:t>国二招预订部分房间（标准间600元/间/天）。本通知下发之日起接受订房确认，订完为止。未完成住宿确认的，请自行联系酒店。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北京</w:t>
      </w:r>
      <w:r>
        <w:rPr>
          <w:rFonts w:hint="eastAsia" w:ascii="仿宋" w:hAnsi="仿宋" w:eastAsia="仿宋"/>
          <w:sz w:val="30"/>
          <w:szCs w:val="30"/>
        </w:rPr>
        <w:t>国二招周边千米之内有德宝、未名、阳光嘉誉、华利佳合、远通维景等酒店。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八、会议联络</w:t>
      </w: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（一）报名和参会</w:t>
      </w: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栗  欣 010-</w:t>
      </w:r>
      <w:r>
        <w:rPr>
          <w:rFonts w:hint="eastAsia" w:ascii="仿宋" w:hAnsi="仿宋" w:eastAsia="仿宋"/>
          <w:sz w:val="30"/>
          <w:szCs w:val="30"/>
        </w:rPr>
        <w:t>66557650  010-</w:t>
      </w:r>
      <w:r>
        <w:rPr>
          <w:rFonts w:hint="eastAsia" w:ascii="仿宋" w:hAnsi="仿宋" w:eastAsia="仿宋"/>
          <w:spacing w:val="-6"/>
          <w:sz w:val="30"/>
          <w:szCs w:val="30"/>
        </w:rPr>
        <w:t>66557659</w:t>
      </w:r>
      <w:r>
        <w:rPr>
          <w:rFonts w:hint="eastAsia" w:ascii="仿宋" w:hAnsi="仿宋" w:eastAsia="仿宋"/>
          <w:sz w:val="30"/>
          <w:szCs w:val="30"/>
        </w:rPr>
        <w:t>（自动传真）</w:t>
      </w: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（二）收费及发票</w:t>
      </w: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 xml:space="preserve">尤  </w:t>
      </w:r>
      <w:r>
        <w:rPr>
          <w:rFonts w:ascii="仿宋" w:hAnsi="仿宋" w:eastAsia="仿宋"/>
          <w:spacing w:val="-6"/>
          <w:sz w:val="30"/>
          <w:szCs w:val="30"/>
        </w:rPr>
        <w:t>坤</w:t>
      </w:r>
      <w:r>
        <w:rPr>
          <w:rFonts w:hint="eastAsia" w:ascii="仿宋" w:hAnsi="仿宋" w:eastAsia="仿宋"/>
          <w:spacing w:val="-6"/>
          <w:sz w:val="30"/>
          <w:szCs w:val="30"/>
        </w:rPr>
        <w:t xml:space="preserve"> 010-66557668，夏晓波 010-66557697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推介与宣传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 xml:space="preserve">           中国矿业网                绿色矿山微报</w:t>
      </w: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 xml:space="preserve">      </w:t>
      </w:r>
      <w:r>
        <w:rPr>
          <w:rFonts w:hint="eastAsia" w:ascii="仿宋" w:hAnsi="仿宋" w:eastAsia="仿宋"/>
          <w:spacing w:val="-6"/>
          <w:sz w:val="30"/>
          <w:szCs w:val="30"/>
        </w:rPr>
        <w:drawing>
          <wp:inline distT="0" distB="0" distL="114300" distR="114300">
            <wp:extent cx="1086485" cy="1086485"/>
            <wp:effectExtent l="0" t="0" r="18415" b="18415"/>
            <wp:docPr id="2" name="图片 2" descr="中国矿业网微信图片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矿业网微信图片_2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pacing w:val="-6"/>
          <w:sz w:val="30"/>
          <w:szCs w:val="30"/>
        </w:rPr>
        <w:t xml:space="preserve">              </w:t>
      </w:r>
      <w:r>
        <w:rPr>
          <w:rFonts w:hint="eastAsia" w:ascii="仿宋" w:hAnsi="仿宋" w:eastAsia="仿宋"/>
          <w:spacing w:val="-6"/>
          <w:sz w:val="30"/>
          <w:szCs w:val="30"/>
        </w:rPr>
        <w:drawing>
          <wp:inline distT="0" distB="0" distL="114300" distR="114300">
            <wp:extent cx="1103630" cy="1103630"/>
            <wp:effectExtent l="0" t="0" r="1270" b="1270"/>
            <wp:docPr id="1" name="图片 1" descr="微报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报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附件:</w:t>
      </w:r>
      <w:r>
        <w:rPr>
          <w:rFonts w:hint="eastAsia" w:ascii="仿宋" w:hAnsi="仿宋" w:eastAsia="仿宋" w:cstheme="minorBidi"/>
          <w:sz w:val="30"/>
          <w:szCs w:val="30"/>
        </w:rPr>
        <w:t>2017中国矿业循环经济暨绿色矿山论坛</w:t>
      </w:r>
      <w:r>
        <w:rPr>
          <w:rFonts w:hint="eastAsia" w:ascii="仿宋" w:hAnsi="仿宋" w:eastAsia="仿宋"/>
          <w:spacing w:val="-6"/>
          <w:sz w:val="30"/>
          <w:szCs w:val="30"/>
        </w:rPr>
        <w:t>报名回执表</w:t>
      </w: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9"/>
        <w:rPr>
          <w:rFonts w:ascii="仿宋" w:hAnsi="仿宋" w:eastAsia="仿宋"/>
          <w:spacing w:val="-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9"/>
        <w:jc w:val="center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 xml:space="preserve">                                    中国矿业联合会</w:t>
      </w:r>
    </w:p>
    <w:p>
      <w:pPr>
        <w:adjustRightInd w:val="0"/>
        <w:snapToGrid w:val="0"/>
        <w:spacing w:line="360" w:lineRule="auto"/>
        <w:ind w:firstLine="602" w:firstLineChars="209"/>
        <w:jc w:val="center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 xml:space="preserve">                                     2017年4月20日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 w:cstheme="minorBidi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theme="minorBidi"/>
          <w:sz w:val="32"/>
          <w:szCs w:val="32"/>
        </w:rPr>
        <w:t>2017中国矿业循环经济暨绿色矿山论坛</w:t>
      </w:r>
      <w:r>
        <w:rPr>
          <w:rFonts w:hint="eastAsia" w:ascii="华文中宋" w:hAnsi="华文中宋" w:eastAsia="华文中宋"/>
          <w:sz w:val="32"/>
          <w:szCs w:val="32"/>
        </w:rPr>
        <w:t>报名回执表</w:t>
      </w:r>
    </w:p>
    <w:p>
      <w:pPr>
        <w:ind w:firstLine="1050" w:firstLineChars="350"/>
        <w:rPr>
          <w:rFonts w:ascii="宋体" w:hAnsi="宋体"/>
          <w:bCs/>
          <w:sz w:val="30"/>
          <w:szCs w:val="30"/>
        </w:rPr>
      </w:pPr>
    </w:p>
    <w:tbl>
      <w:tblPr>
        <w:tblStyle w:val="5"/>
        <w:tblW w:w="9593" w:type="dxa"/>
        <w:jc w:val="center"/>
        <w:tblInd w:w="85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491"/>
        <w:gridCol w:w="360"/>
        <w:gridCol w:w="1701"/>
        <w:gridCol w:w="1551"/>
        <w:gridCol w:w="8"/>
        <w:gridCol w:w="1418"/>
        <w:gridCol w:w="1134"/>
        <w:gridCol w:w="17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50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0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邮  编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电    话</w:t>
            </w:r>
          </w:p>
        </w:tc>
        <w:tc>
          <w:tcPr>
            <w:tcW w:w="50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传  真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手    机</w:t>
            </w:r>
          </w:p>
        </w:tc>
        <w:tc>
          <w:tcPr>
            <w:tcW w:w="36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E-mail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参会人员名单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职务/职称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E-mail</w:t>
            </w:r>
          </w:p>
        </w:tc>
        <w:tc>
          <w:tcPr>
            <w:tcW w:w="28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ind w:firstLine="900" w:firstLineChars="300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3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开具发票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抬头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</w:tc>
        <w:tc>
          <w:tcPr>
            <w:tcW w:w="427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spacing w:line="480" w:lineRule="exact"/>
              <w:jc w:val="both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开增值税发票请提供单位信息：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3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开具发票要求：</w:t>
            </w:r>
          </w:p>
        </w:tc>
        <w:tc>
          <w:tcPr>
            <w:tcW w:w="42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>您在北京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国二招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住宿要求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>请在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>内请</w:t>
            </w:r>
            <w:r>
              <w:rPr>
                <w:rFonts w:hint="default" w:ascii="Arial" w:hAnsi="Arial" w:eastAsia="仿宋" w:cs="Arial"/>
                <w:bCs/>
                <w:kern w:val="0"/>
                <w:sz w:val="30"/>
                <w:szCs w:val="30"/>
                <w:lang w:val="en-US" w:eastAsia="zh-CN"/>
              </w:rPr>
              <w:t>√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eastAsia="zh-CN"/>
              </w:rPr>
              <w:t>）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单间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间数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合住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人数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ind w:firstLine="600" w:firstLineChars="200"/>
              <w:rPr>
                <w:rFonts w:ascii="仿宋" w:hAnsi="仿宋" w:eastAsia="仿宋" w:cs="宋体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zh-CN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C22A"/>
    <w:multiLevelType w:val="singleLevel"/>
    <w:tmpl w:val="58F5C22A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60A7E"/>
    <w:rsid w:val="24E17956"/>
    <w:rsid w:val="2C2A1ECC"/>
    <w:rsid w:val="51213EEF"/>
    <w:rsid w:val="5D250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shijingxi</dc:creator>
  <cp:lastModifiedBy>shijingxi</cp:lastModifiedBy>
  <dcterms:modified xsi:type="dcterms:W3CDTF">2017-04-21T08:31:32Z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